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b w:val="1"/>
          <w:bCs w:val="1"/>
          <w:sz w:val="22"/>
          <w:szCs w:val="22"/>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FORMULARUL ZONELOR PRIORITARE PENTRU BIODIVERSITATE</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ROSCI0076ZPB</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Dealul Mare-Hârlău</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bCs w:val="0"/>
          <w:i w:val="0"/>
          <w:iCs w:val="0"/>
          <w:smallCaps w:val="0"/>
          <w:strike w:val="0"/>
          <w:color w:val="000000"/>
          <w:sz w:val="24"/>
          <w:szCs w:val="24"/>
          <w:u w:val="none"/>
          <w:shd w:fill="auto" w:val="clear"/>
          <w:vertAlign w:val="baseline"/>
        </w:rPr>
      </w:pPr>
      <w:sdt>
        <w:sdtPr>
          <w:id w:val="1474233517"/>
          <w:tag w:val="goog_rdk_0"/>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2082871304"/>
          <w:tag w:val="goog_rdk_1"/>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OECM (Other effective area-based conservation measures)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51806698"/>
          <w:tag w:val="goog_rdk_2"/>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p>
    <w:tbl>
      <w:tblPr>
        <w:tblStyle w:val="Table1"/>
        <w:tblW w:w="8980.0" w:type="dxa"/>
        <w:jc w:val="left"/>
        <w:tblInd w:w="-98.0" w:type="dxa"/>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p>
    <w:p w:rsidR="00000000" w:rsidDel="00000000" w:rsidP="00000000" w:rsidRDefault="00000000" w:rsidRPr="00000000" w14:paraId="0000002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p>
    <w:tbl>
      <w:tblPr>
        <w:tblStyle w:val="Table4"/>
        <w:tblW w:w="8980.0" w:type="dxa"/>
        <w:jc w:val="left"/>
        <w:tblInd w:w="-98.0" w:type="dxa"/>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p>
        </w:tc>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p>
    <w:p w:rsidR="00000000" w:rsidDel="00000000" w:rsidP="00000000" w:rsidRDefault="00000000" w:rsidRPr="00000000" w14:paraId="0000003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b w:val="1"/>
          <w:bCs w:val="1"/>
          <w:sz w:val="22"/>
          <w:szCs w:val="22"/>
          <w:rtl w:val="0"/>
        </w:rPr>
        <w:t xml:space="preserve">2.1.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4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598,74</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2,39%</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RO21</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Nord-Est</w:t>
            </w:r>
          </w:p>
        </w:tc>
      </w:tr>
    </w:tbl>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p>
    <w:p w:rsidR="00000000" w:rsidDel="00000000" w:rsidP="00000000" w:rsidRDefault="00000000" w:rsidRPr="00000000" w14:paraId="0000004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Botoșani, Iași, Suceava</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p>
    <w:tbl>
      <w:tblPr>
        <w:tblStyle w:val="Table7"/>
        <w:tblW w:w="8980.0" w:type="dxa"/>
        <w:jc w:val="left"/>
        <w:tblInd w:w="-98.0" w:type="dxa"/>
        <w:tblLayout w:type="fixed"/>
        <w:tblLook w:val="0400"/>
      </w:tblPr>
      <w:tblGrid>
        <w:gridCol w:w="2803"/>
        <w:gridCol w:w="236"/>
        <w:gridCol w:w="2874"/>
        <w:gridCol w:w="236"/>
        <w:gridCol w:w="2831"/>
        <w:tblGridChange w:id="0">
          <w:tblGrid>
            <w:gridCol w:w="2803"/>
            <w:gridCol w:w="236"/>
            <w:gridCol w:w="2874"/>
            <w:gridCol w:w="236"/>
            <w:gridCol w:w="2831"/>
          </w:tblGrid>
        </w:tblGridChange>
      </w:tblGrid>
      <w:tr>
        <w:trPr>
          <w:cantSplit w:val="0"/>
          <w:tblHeader w:val="0"/>
        </w:trPr>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466064833"/>
                <w:tag w:val="goog_rdk_3"/>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971400243"/>
                <w:tag w:val="goog_rdk_4"/>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100%</w:t>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964325068"/>
                <w:tag w:val="goog_rdk_5"/>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p>
        </w:tc>
      </w:tr>
      <w:tr>
        <w:trPr>
          <w:cantSplit w:val="0"/>
          <w:tblHeader w:val="0"/>
        </w:trPr>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310634212"/>
                <w:tag w:val="goog_rdk_6"/>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279865194"/>
                <w:tag w:val="goog_rdk_7"/>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179664383"/>
                <w:tag w:val="goog_rdk_8"/>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p>
        </w:tc>
      </w:tr>
    </w:tbl>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p>
    <w:p w:rsidR="00000000" w:rsidDel="00000000" w:rsidP="00000000" w:rsidRDefault="00000000" w:rsidRPr="00000000" w14:paraId="0000005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p>
    <w:p w:rsidR="00000000" w:rsidDel="00000000" w:rsidP="00000000" w:rsidRDefault="00000000" w:rsidRPr="00000000" w14:paraId="0000005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6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176,13</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Județean Botoșani nr. 5/1995: Pădurea Tudora;</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Județean Iași nr. 8/1994: Fagetul Secular Humosu, Acumularea Pârcovaci;</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RONPA0248 Pădurea Tudora, RONPA0554 Fagetul Secular Humosu, RONPA0575 Acumularea Pârcovaci;</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8"/>
        <w:tblW w:w="8964.0" w:type="dxa"/>
        <w:jc w:val="left"/>
        <w:tblInd w:w="-97.00000000000001"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rHeight w:val="57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Habitate de păduri temperate europene:</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91Y0 Păduri dacice de stejar şi carpen </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91E0* Păduri aluviale cu Alnus glutinosa și Fraxinus excelsior (Alno-Padion, Alnion incanae, Salicion albae)</w:t>
              <w:br w:type="textWrapping"/>
            </w: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Habitate de ape curgătoare:</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3270 Vegetație de chenopodiacee de tip Chenopodion rubri și Bidention de pe malurile râurilor</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Habitate de ape stătătoare</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3150 Lacuri eutrofe naturale cu vegetație de tip Magnopotamion sau Hydrocharition</w:t>
            </w: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1355 Lutra lutra</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2644 Capreolus capreolus</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2645 Cervus elaphus</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1357 Martes martes</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Reptile:</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1220 Emys orbicularis</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variegata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Nevertebrate:</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4027 Arytrura musculus</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1060 Lycaena dispar</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1902 Cypripedium calceolus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Taxus baccata</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A089 Aquila pomarina</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A224 Caprimulgus europaeus</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A031 Ciconia ciconia</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A429 Dendrocopos syriacus</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A246 Lullula arborea</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91">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92">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93">
            <w:pPr>
              <w:jc w:val="both"/>
              <w:rPr/>
            </w:pPr>
            <w:r w:rsidDel="00000000" w:rsidR="00000000" w:rsidRPr="00000000">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sidDel="00000000" w:rsidR="00000000" w:rsidRPr="00000000">
              <w:rPr>
                <w:rtl w:val="0"/>
              </w:rPr>
            </w:r>
          </w:p>
          <w:p w:rsidR="00000000" w:rsidDel="00000000" w:rsidP="00000000" w:rsidRDefault="00000000" w:rsidRPr="00000000" w14:paraId="00000094">
            <w:pPr>
              <w:jc w:val="both"/>
              <w:rPr/>
            </w:pPr>
            <w:r w:rsidDel="00000000" w:rsidR="00000000" w:rsidRPr="00000000">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sidDel="00000000" w:rsidR="00000000" w:rsidRPr="00000000">
              <w:rPr>
                <w:rtl w:val="0"/>
              </w:rPr>
            </w:r>
          </w:p>
          <w:p w:rsidR="00000000" w:rsidDel="00000000" w:rsidP="00000000" w:rsidRDefault="00000000" w:rsidRPr="00000000" w14:paraId="00000095">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I01 Specii invazive non-native(alogene)</w:t>
            </w:r>
          </w:p>
        </w:tc>
      </w:tr>
      <w:tr>
        <w:trPr>
          <w:cantSplit w:val="0"/>
          <w:trHeight w:val="62740.05859374999"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non-intervenție pentru habitatele forestiere T1 </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elementelor-cheie pentru biodiversitate (arbori foarte bătrâni, arbori-habitat, lemn mort, microhabitate).</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deranjului produs de activitățile umane — acces motorizat, turism necontrolat și recoltări neautorizate.</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periodică a stării de conservare a habitatelor și speciilor din ZPB.</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A">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B">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C">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D">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E">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F">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0">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1">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B2">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B3">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4">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5">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6">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7">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8">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8">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B9">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A">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B">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C">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D">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E">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F">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C0">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1">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C2">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C3">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4">
            <w:pPr>
              <w:spacing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Refacerea conectivității longitudinale (eliminarea/atenuarea barierelor) și laterale (refacerea legăturii cu lunca).</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Restaurarea dinamicii naturale a cursurilor de apă (variabilitate debite, mobilitate albie).</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Refacerea zonelor umede deconectate și a habitatelor asociate.</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Controlul speciilor invazive acvatice și ripariene.</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poluării și a presiunilor difuze din bazinul hidrografic.</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efectelor restaurării.</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Sursele de poluare punctuale se elimină sau se reduc; pentru poluarea difuză se promovează benzi tampon ripariene.</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Exploatările de materiale din albie se interzic în interiorul ZPB; depozitările și deșeurile se elimină.</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3.2.2. Zona Prioritară pentru Biodiversitate nr. 2</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3.2.2.1. Cod Zona Prioritară pentru Biodiversitate nr. 2</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3.2.2.2.  Detalii privind Zona Prioritară pentru Biodiversitate nr. 2</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E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422,61</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E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E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9"/>
        <w:tblW w:w="8964.0" w:type="dxa"/>
        <w:jc w:val="left"/>
        <w:tblInd w:w="-97.00000000000001"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Habitate forestiere:</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9130 Păduri de fag de tip Asperulo-Fagetum </w:t>
              <w:br w:type="textWrapping"/>
              <w:t xml:space="preserve">9170 Păduri de stejar cu carpen de tip Galio-Carpinetum</w:t>
              <w:br w:type="textWrapping"/>
              <w:t xml:space="preserve">91Y0 Păduri dacice de stejar şi carpen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2644 Capreolus capreolus</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2645 Cervus elaphus</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 </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1357 Martes martes</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variegata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1902 Cypripedium calceolus </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1866 Galanthus nivalis</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A089 Aquila pomarina</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A224 Caprimulgus europaeus</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A238 Dendrocopos medius</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A429 Dendrocopos syriacus</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A321 Ficedula albicollis</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109">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0A">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0B">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B02.04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10">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11">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12">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13">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14">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15">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16">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17">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18">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19">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1A">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1B">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1C">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1D">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1E">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1E">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1F">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20">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21">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22">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23">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24">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5">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26">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7">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28">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29">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A">
            <w:pPr>
              <w:spacing w:line="240" w:lineRule="auto"/>
              <w:jc w:val="both"/>
              <w:rPr>
                <w:b w:val="1"/>
                <w:bCs w:val="1"/>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A">
            <w:pPr>
              <w:spacing w:line="240" w:lineRule="auto"/>
              <w:jc w:val="both"/>
              <w:rPr>
                <w:b w:val="1"/>
                <w:b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w:t>
            </w:r>
          </w:p>
        </w:tc>
      </w:tr>
    </w:tbl>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w:t>
      </w:r>
    </w:p>
    <w:p w:rsidR="00000000" w:rsidDel="00000000" w:rsidP="00000000" w:rsidRDefault="00000000" w:rsidRPr="00000000" w14:paraId="0000013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Cotoș, M.-G., Radu, I., Roibu, C.-C., &amp; Cenușă, R. (2019). Dinamica perturbărilor din rezervația naturală ”Făgetul Secular Humosu” aflată la limita estică a arealului European. Bucovina Forestieră, 19(2), 131–138. https://doi.org/10.4316/bf.2019.018</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 Zonelor Prioritare pentru Biodiversitate</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p>
    <w:p w:rsidR="00000000" w:rsidDel="00000000" w:rsidP="00000000" w:rsidRDefault="00000000" w:rsidRPr="00000000" w14:paraId="0000013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240" w:before="24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iunie 2025 – online, jud. Suceava; 24 martie 2025 – Iași, jud. Ulterior, în cadrul procesului de consultare extins la nivel național, au avut loc consultări suplimentară online în datele de 5 și 15 decembrie 2025 cu participarea factorilor interesați relevanți din județul Botoșani, în data de 17 decembrie 2025</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Iași și în data de 22 ianuarie 2026 cu participarea factorilor interesați relevanți din județul Suceava.</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7">
        <w:r w:rsidDel="00000000" w:rsidR="00000000" w:rsidRPr="00000000">
          <w:rPr>
            <w:rFonts w:ascii="Arial" w:cs="Arial" w:eastAsia="Arial" w:hAnsi="Arial"/>
            <w:b w:val="0"/>
            <w:bCs w:val="0"/>
            <w:i w:val="0"/>
            <w:iCs w:val="0"/>
            <w:smallCaps w:val="0"/>
            <w:strike w:val="0"/>
            <w:color w:val="000080"/>
            <w:sz w:val="22"/>
            <w:szCs w:val="22"/>
            <w:u w:val="single"/>
            <w:shd w:fill="auto" w:val="clear"/>
            <w:vertAlign w:val="baseline"/>
            <w:rtl w:val="0"/>
          </w:rPr>
          <w:t xml:space="preserve">https://mmediu.ro/domenii/mediu/arii-naturale-protejate/zpb-pnrr-i-3/</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mbr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zE2sAJZn9xD6cd4fIbjT0abHy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ZHZEdDUUFGMS1CdHJYdWQtaEFmVEwyU2RSZWlPcDI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